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99" w:rsidRDefault="00101ADB">
      <w:r w:rsidRPr="00096325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E30A149" wp14:editId="0AA844D1">
            <wp:simplePos x="0" y="0"/>
            <wp:positionH relativeFrom="column">
              <wp:posOffset>4747260</wp:posOffset>
            </wp:positionH>
            <wp:positionV relativeFrom="paragraph">
              <wp:posOffset>-522605</wp:posOffset>
            </wp:positionV>
            <wp:extent cx="1264369" cy="10567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69" cy="105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4C6">
        <w:t>Réunion du 18 Mars 2022</w:t>
      </w:r>
    </w:p>
    <w:p w:rsidR="000B04C6" w:rsidRPr="00A2264C" w:rsidRDefault="000B04C6" w:rsidP="00A2264C">
      <w:pPr>
        <w:jc w:val="center"/>
        <w:rPr>
          <w:color w:val="4472C4" w:themeColor="accent1"/>
          <w:sz w:val="40"/>
          <w:szCs w:val="40"/>
        </w:rPr>
      </w:pPr>
    </w:p>
    <w:p w:rsidR="000B04C6" w:rsidRPr="00A2264C" w:rsidRDefault="000B04C6" w:rsidP="00A2264C">
      <w:pPr>
        <w:jc w:val="center"/>
        <w:rPr>
          <w:b/>
          <w:color w:val="4472C4" w:themeColor="accent1"/>
          <w:sz w:val="40"/>
          <w:szCs w:val="40"/>
          <w:u w:val="single"/>
        </w:rPr>
      </w:pPr>
      <w:r w:rsidRPr="00A2264C">
        <w:rPr>
          <w:b/>
          <w:color w:val="4472C4" w:themeColor="accent1"/>
          <w:sz w:val="40"/>
          <w:szCs w:val="40"/>
          <w:u w:val="single"/>
        </w:rPr>
        <w:t>Groupe de travail – Guide juridique et pratique d’accompagnement de la personne âgée en perte d’autonomie au domicile</w:t>
      </w:r>
    </w:p>
    <w:p w:rsidR="007410B4" w:rsidRPr="00A0512F" w:rsidRDefault="007410B4">
      <w:pPr>
        <w:rPr>
          <w:i/>
        </w:rPr>
      </w:pPr>
    </w:p>
    <w:p w:rsidR="000B04C6" w:rsidRPr="00A2264C" w:rsidRDefault="000B04C6">
      <w:pPr>
        <w:rPr>
          <w:b/>
          <w:i/>
          <w:u w:val="single"/>
        </w:rPr>
      </w:pPr>
      <w:r w:rsidRPr="00A2264C">
        <w:rPr>
          <w:b/>
          <w:i/>
          <w:u w:val="single"/>
        </w:rPr>
        <w:t>Présents :</w:t>
      </w:r>
    </w:p>
    <w:p w:rsidR="00ED345D" w:rsidRPr="005D389D" w:rsidRDefault="00ED345D" w:rsidP="00F32F22">
      <w:pPr>
        <w:spacing w:after="0" w:line="240" w:lineRule="auto"/>
        <w:jc w:val="both"/>
        <w:rPr>
          <w:b/>
        </w:rPr>
      </w:pPr>
      <w:r w:rsidRPr="005D389D">
        <w:rPr>
          <w:b/>
        </w:rPr>
        <w:t xml:space="preserve">Bao Hoa DANG, </w:t>
      </w:r>
      <w:r>
        <w:t>D</w:t>
      </w:r>
      <w:r w:rsidRPr="005D389D">
        <w:t>irectrice de l’association Arc en ciel</w:t>
      </w:r>
    </w:p>
    <w:p w:rsidR="00ED345D" w:rsidRDefault="00ED345D" w:rsidP="00F32F22">
      <w:pPr>
        <w:spacing w:after="0" w:line="240" w:lineRule="auto"/>
        <w:jc w:val="both"/>
      </w:pPr>
      <w:r w:rsidRPr="00A2264C">
        <w:rPr>
          <w:b/>
        </w:rPr>
        <w:t>Benoist GAUTHIER</w:t>
      </w:r>
      <w:r>
        <w:t>, Responsable du SAAD Epinay</w:t>
      </w:r>
    </w:p>
    <w:p w:rsidR="00ED345D" w:rsidRDefault="00ED345D" w:rsidP="00F32F22">
      <w:pPr>
        <w:spacing w:after="0" w:line="240" w:lineRule="auto"/>
      </w:pPr>
      <w:r w:rsidRPr="00A2264C">
        <w:rPr>
          <w:b/>
        </w:rPr>
        <w:t>Catherine DUBAS</w:t>
      </w:r>
      <w:r>
        <w:t>, Agent d’encadrement – SAAD Epinay</w:t>
      </w:r>
    </w:p>
    <w:p w:rsidR="00ED345D" w:rsidRDefault="00ED345D" w:rsidP="00F32F22">
      <w:pPr>
        <w:spacing w:after="0" w:line="240" w:lineRule="auto"/>
        <w:jc w:val="both"/>
      </w:pPr>
      <w:r w:rsidRPr="00A2264C">
        <w:rPr>
          <w:b/>
        </w:rPr>
        <w:t>Célina AUTIN</w:t>
      </w:r>
      <w:r>
        <w:t>, Chargée d’animation territoriale – DAC93 Sud</w:t>
      </w:r>
    </w:p>
    <w:p w:rsidR="00ED345D" w:rsidRDefault="00ED345D" w:rsidP="00F32F22">
      <w:pPr>
        <w:spacing w:after="0" w:line="240" w:lineRule="auto"/>
        <w:jc w:val="both"/>
      </w:pPr>
      <w:r w:rsidRPr="00A2264C">
        <w:rPr>
          <w:b/>
        </w:rPr>
        <w:t>Céline CANINI</w:t>
      </w:r>
      <w:r>
        <w:t>, Chargée d’études juridiques - CD</w:t>
      </w:r>
    </w:p>
    <w:p w:rsidR="00ED345D" w:rsidRPr="005D389D" w:rsidRDefault="00ED345D" w:rsidP="00F32F22">
      <w:pPr>
        <w:spacing w:after="0" w:line="240" w:lineRule="auto"/>
      </w:pPr>
      <w:r w:rsidRPr="005D389D">
        <w:rPr>
          <w:b/>
        </w:rPr>
        <w:t>Emma PETIT</w:t>
      </w:r>
      <w:r>
        <w:t>, Chargée de mission DAC 93 Nord</w:t>
      </w:r>
    </w:p>
    <w:p w:rsidR="00ED345D" w:rsidRDefault="00ED345D" w:rsidP="00F32F22">
      <w:pPr>
        <w:spacing w:after="0" w:line="240" w:lineRule="auto"/>
        <w:jc w:val="both"/>
      </w:pPr>
      <w:r w:rsidRPr="00A2264C">
        <w:rPr>
          <w:b/>
        </w:rPr>
        <w:t>Isma ZALAMBANI</w:t>
      </w:r>
      <w:r>
        <w:t xml:space="preserve">, </w:t>
      </w:r>
    </w:p>
    <w:p w:rsidR="00ED345D" w:rsidRDefault="00ED345D" w:rsidP="00F32F22">
      <w:pPr>
        <w:spacing w:after="0" w:line="240" w:lineRule="auto"/>
        <w:jc w:val="both"/>
      </w:pPr>
      <w:r w:rsidRPr="00A2264C">
        <w:rPr>
          <w:b/>
        </w:rPr>
        <w:t>Jacques GOULEY</w:t>
      </w:r>
      <w:r>
        <w:t>, Chargé d’études juridiques - CD</w:t>
      </w:r>
    </w:p>
    <w:p w:rsidR="00ED345D" w:rsidRDefault="00ED345D" w:rsidP="00F32F22">
      <w:pPr>
        <w:spacing w:after="0" w:line="240" w:lineRule="auto"/>
        <w:jc w:val="both"/>
      </w:pPr>
      <w:r w:rsidRPr="00A2264C">
        <w:rPr>
          <w:b/>
        </w:rPr>
        <w:t>Meriem DJEZAR</w:t>
      </w:r>
      <w:r>
        <w:t>, Stagiaire DAC93 Nord</w:t>
      </w:r>
    </w:p>
    <w:p w:rsidR="00ED345D" w:rsidRDefault="00ED345D" w:rsidP="00F32F22">
      <w:pPr>
        <w:spacing w:after="0" w:line="240" w:lineRule="auto"/>
        <w:jc w:val="both"/>
      </w:pPr>
      <w:r w:rsidRPr="00A2264C">
        <w:rPr>
          <w:b/>
        </w:rPr>
        <w:t>Myriam LE TALLEC-GREGOIRE</w:t>
      </w:r>
      <w:r>
        <w:t>, Cheffe du bureau de l’évaluation et du développement - CD</w:t>
      </w:r>
    </w:p>
    <w:p w:rsidR="00ED345D" w:rsidRDefault="00ED345D" w:rsidP="00F32F22">
      <w:pPr>
        <w:spacing w:after="0" w:line="240" w:lineRule="auto"/>
        <w:jc w:val="both"/>
      </w:pPr>
      <w:r w:rsidRPr="00A2264C">
        <w:rPr>
          <w:b/>
        </w:rPr>
        <w:t>Nicole CHARBONNIER</w:t>
      </w:r>
      <w:r>
        <w:t>, Responsable du pôle gérontologie – CCAS Aulnay-sous-Bois</w:t>
      </w:r>
    </w:p>
    <w:p w:rsidR="00ED345D" w:rsidRDefault="00ED345D" w:rsidP="00F32F22">
      <w:pPr>
        <w:spacing w:after="0" w:line="240" w:lineRule="auto"/>
        <w:jc w:val="both"/>
      </w:pPr>
      <w:proofErr w:type="spellStart"/>
      <w:r w:rsidRPr="00B868B5">
        <w:rPr>
          <w:b/>
        </w:rPr>
        <w:t>Zahéra</w:t>
      </w:r>
      <w:proofErr w:type="spellEnd"/>
      <w:r w:rsidRPr="00B868B5">
        <w:rPr>
          <w:b/>
        </w:rPr>
        <w:t xml:space="preserve"> CHIKH, </w:t>
      </w:r>
      <w:r w:rsidRPr="00B868B5">
        <w:t>Circonscription</w:t>
      </w:r>
      <w:r>
        <w:t xml:space="preserve"> Clichy-sous-Bois</w:t>
      </w:r>
    </w:p>
    <w:p w:rsidR="00ED345D" w:rsidRDefault="00ED345D" w:rsidP="00F32F22">
      <w:pPr>
        <w:spacing w:after="0" w:line="240" w:lineRule="auto"/>
        <w:jc w:val="both"/>
      </w:pPr>
      <w:r w:rsidRPr="00A2264C">
        <w:rPr>
          <w:b/>
        </w:rPr>
        <w:t>Zoé VIGNALOU</w:t>
      </w:r>
      <w:r>
        <w:t>, Coordinatrice de parcours – DAC93 Nord</w:t>
      </w:r>
    </w:p>
    <w:p w:rsidR="00ED345D" w:rsidRDefault="00ED345D" w:rsidP="00F32F22">
      <w:pPr>
        <w:spacing w:line="240" w:lineRule="auto"/>
        <w:rPr>
          <w:b/>
          <w:i/>
          <w:u w:val="single"/>
        </w:rPr>
      </w:pPr>
    </w:p>
    <w:p w:rsidR="000B04C6" w:rsidRPr="00A2264C" w:rsidRDefault="00A0512F" w:rsidP="00F32F22">
      <w:pPr>
        <w:spacing w:line="240" w:lineRule="auto"/>
        <w:rPr>
          <w:b/>
          <w:i/>
          <w:u w:val="single"/>
        </w:rPr>
      </w:pPr>
      <w:r w:rsidRPr="00A2264C">
        <w:rPr>
          <w:b/>
          <w:i/>
          <w:u w:val="single"/>
        </w:rPr>
        <w:t>Excusés :</w:t>
      </w:r>
    </w:p>
    <w:p w:rsidR="00ED345D" w:rsidRDefault="00ED345D" w:rsidP="00C916C5">
      <w:pPr>
        <w:spacing w:after="0"/>
        <w:rPr>
          <w:rFonts w:ascii="Calibri" w:eastAsia="Times New Roman" w:hAnsi="Calibri" w:cs="Calibri"/>
          <w:color w:val="000000"/>
          <w:lang w:eastAsia="fr-FR"/>
        </w:rPr>
      </w:pPr>
      <w:r w:rsidRPr="00A2264C">
        <w:rPr>
          <w:b/>
        </w:rPr>
        <w:t>CHAAYA Marlène</w:t>
      </w:r>
      <w:r>
        <w:t xml:space="preserve">, </w:t>
      </w:r>
      <w:r w:rsidRPr="00801447">
        <w:rPr>
          <w:rFonts w:ascii="Calibri" w:eastAsia="Times New Roman" w:hAnsi="Calibri" w:cs="Calibri"/>
          <w:color w:val="000000"/>
          <w:lang w:eastAsia="fr-FR"/>
        </w:rPr>
        <w:t>AS Pôle social, direction de l'action sociale et des relations avec les usagers</w:t>
      </w:r>
      <w:r>
        <w:rPr>
          <w:rFonts w:ascii="Calibri" w:eastAsia="Times New Roman" w:hAnsi="Calibri" w:cs="Calibri"/>
          <w:color w:val="000000"/>
          <w:lang w:eastAsia="fr-FR"/>
        </w:rPr>
        <w:t xml:space="preserve"> – Pantin</w:t>
      </w:r>
    </w:p>
    <w:p w:rsidR="00ED345D" w:rsidRDefault="00ED345D" w:rsidP="00C916C5">
      <w:pPr>
        <w:spacing w:after="0"/>
      </w:pPr>
      <w:r w:rsidRPr="00A2264C">
        <w:rPr>
          <w:b/>
        </w:rPr>
        <w:t>Déborah TOUATI</w:t>
      </w:r>
      <w:r>
        <w:t xml:space="preserve">, </w:t>
      </w:r>
      <w:r w:rsidRPr="00801447">
        <w:t>Coordinatrice du Conseil Local de Santé Mentale Intercommunal</w:t>
      </w:r>
    </w:p>
    <w:p w:rsidR="00ED345D" w:rsidRPr="00801447" w:rsidRDefault="00ED345D" w:rsidP="00C916C5">
      <w:pPr>
        <w:spacing w:after="0"/>
        <w:rPr>
          <w:rFonts w:ascii="Calibri" w:eastAsia="Times New Roman" w:hAnsi="Calibri" w:cs="Calibri"/>
          <w:color w:val="212121"/>
          <w:sz w:val="23"/>
          <w:szCs w:val="23"/>
          <w:lang w:eastAsia="fr-FR"/>
        </w:rPr>
      </w:pPr>
      <w:r w:rsidRPr="00A2264C">
        <w:rPr>
          <w:b/>
        </w:rPr>
        <w:t>Florence JULIENNE THOMAS</w:t>
      </w:r>
      <w:r>
        <w:t xml:space="preserve">, </w:t>
      </w:r>
      <w:r w:rsidRPr="00801447">
        <w:rPr>
          <w:rFonts w:ascii="Calibri" w:eastAsia="Times New Roman" w:hAnsi="Calibri" w:cs="Calibri"/>
          <w:color w:val="212121"/>
          <w:sz w:val="23"/>
          <w:szCs w:val="23"/>
          <w:lang w:eastAsia="fr-FR"/>
        </w:rPr>
        <w:t>Coordinatrice de l'évaluation médico-sociale</w:t>
      </w:r>
      <w:r>
        <w:rPr>
          <w:rFonts w:ascii="Calibri" w:eastAsia="Times New Roman" w:hAnsi="Calibri" w:cs="Calibri"/>
          <w:color w:val="212121"/>
          <w:sz w:val="23"/>
          <w:szCs w:val="23"/>
          <w:lang w:eastAsia="fr-FR"/>
        </w:rPr>
        <w:t xml:space="preserve"> - CD</w:t>
      </w:r>
    </w:p>
    <w:p w:rsidR="00ED345D" w:rsidRDefault="00ED345D" w:rsidP="00C916C5">
      <w:pPr>
        <w:spacing w:after="0"/>
      </w:pPr>
      <w:r w:rsidRPr="00A2264C">
        <w:rPr>
          <w:b/>
        </w:rPr>
        <w:t>Nathalie RUTELLA</w:t>
      </w:r>
      <w:r>
        <w:t>, Infirmière en psychiatrie – GHT GPNE</w:t>
      </w:r>
    </w:p>
    <w:p w:rsidR="00ED345D" w:rsidRPr="00801447" w:rsidRDefault="00ED345D" w:rsidP="00C916C5">
      <w:pPr>
        <w:spacing w:after="0"/>
        <w:rPr>
          <w:rFonts w:ascii="Calibri" w:eastAsia="Times New Roman" w:hAnsi="Calibri" w:cs="Calibri"/>
          <w:color w:val="000000"/>
          <w:lang w:eastAsia="fr-FR"/>
        </w:rPr>
      </w:pPr>
      <w:r w:rsidRPr="00A2264C">
        <w:rPr>
          <w:b/>
        </w:rPr>
        <w:t>Valérie PHARAMOND</w:t>
      </w:r>
      <w:r>
        <w:t xml:space="preserve">, </w:t>
      </w:r>
      <w:r w:rsidRPr="00801447">
        <w:rPr>
          <w:rFonts w:ascii="Calibri" w:eastAsia="Times New Roman" w:hAnsi="Calibri" w:cs="Calibri"/>
          <w:color w:val="000000"/>
          <w:lang w:eastAsia="fr-FR"/>
        </w:rPr>
        <w:t>Direction du pôle action sociale</w:t>
      </w:r>
      <w:r>
        <w:rPr>
          <w:rFonts w:ascii="Calibri" w:eastAsia="Times New Roman" w:hAnsi="Calibri" w:cs="Calibri"/>
          <w:color w:val="000000"/>
          <w:lang w:eastAsia="fr-FR"/>
        </w:rPr>
        <w:t xml:space="preserve"> - Epinay</w:t>
      </w:r>
    </w:p>
    <w:p w:rsidR="00ED345D" w:rsidRPr="00A2264C" w:rsidRDefault="00ED345D" w:rsidP="00C916C5">
      <w:pPr>
        <w:spacing w:after="0"/>
        <w:rPr>
          <w:rFonts w:ascii="Calibri" w:eastAsia="Times New Roman" w:hAnsi="Calibri" w:cs="Calibri"/>
          <w:color w:val="000000"/>
          <w:lang w:eastAsia="fr-FR"/>
        </w:rPr>
      </w:pPr>
      <w:r w:rsidRPr="00A2264C">
        <w:rPr>
          <w:rFonts w:ascii="Calibri" w:eastAsia="Times New Roman" w:hAnsi="Calibri" w:cs="Calibri"/>
          <w:b/>
          <w:color w:val="000000"/>
          <w:lang w:eastAsia="fr-FR"/>
        </w:rPr>
        <w:t>WSEVOLOJSKY Serge</w:t>
      </w:r>
      <w:r>
        <w:rPr>
          <w:rFonts w:ascii="Calibri" w:eastAsia="Times New Roman" w:hAnsi="Calibri" w:cs="Calibri"/>
          <w:b/>
          <w:color w:val="000000"/>
          <w:lang w:eastAsia="fr-FR"/>
        </w:rPr>
        <w:t xml:space="preserve">, </w:t>
      </w:r>
      <w:r>
        <w:rPr>
          <w:rFonts w:ascii="Calibri" w:eastAsia="Times New Roman" w:hAnsi="Calibri" w:cs="Calibri"/>
          <w:color w:val="000000"/>
          <w:lang w:eastAsia="fr-FR"/>
        </w:rPr>
        <w:t>Directeur du pôle EHPAD – Association HOVIA</w:t>
      </w:r>
    </w:p>
    <w:p w:rsidR="007410B4" w:rsidRDefault="007410B4">
      <w:pPr>
        <w:rPr>
          <w:b/>
          <w:color w:val="4472C4" w:themeColor="accent1"/>
          <w:sz w:val="24"/>
          <w:szCs w:val="24"/>
          <w:u w:val="single"/>
        </w:rPr>
      </w:pPr>
    </w:p>
    <w:p w:rsidR="007410B4" w:rsidRPr="00D03901" w:rsidRDefault="007410B4">
      <w:pPr>
        <w:rPr>
          <w:b/>
          <w:color w:val="4472C4" w:themeColor="accent1"/>
          <w:sz w:val="24"/>
          <w:szCs w:val="24"/>
          <w:u w:val="single"/>
        </w:rPr>
      </w:pPr>
    </w:p>
    <w:p w:rsidR="00D03901" w:rsidRPr="00D03901" w:rsidRDefault="00D03901" w:rsidP="00D03901">
      <w:pPr>
        <w:rPr>
          <w:b/>
          <w:color w:val="4472C4" w:themeColor="accent1"/>
          <w:sz w:val="24"/>
          <w:szCs w:val="24"/>
          <w:u w:val="single"/>
        </w:rPr>
      </w:pPr>
      <w:r w:rsidRPr="00D03901">
        <w:rPr>
          <w:b/>
          <w:color w:val="4472C4" w:themeColor="accent1"/>
          <w:sz w:val="24"/>
          <w:szCs w:val="24"/>
          <w:u w:val="single"/>
        </w:rPr>
        <w:t xml:space="preserve">Rappel de l’ordre du jour : </w:t>
      </w:r>
    </w:p>
    <w:p w:rsidR="008816B2" w:rsidRDefault="008816B2" w:rsidP="008816B2">
      <w:pPr>
        <w:pStyle w:val="Paragraphedeliste"/>
        <w:numPr>
          <w:ilvl w:val="0"/>
          <w:numId w:val="8"/>
        </w:numPr>
        <w:spacing w:after="240" w:line="240" w:lineRule="auto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Point sur les travaux</w:t>
      </w:r>
      <w:r w:rsidR="008149E9">
        <w:rPr>
          <w:rFonts w:eastAsia="Times New Roman"/>
          <w:color w:val="000000"/>
        </w:rPr>
        <w:t xml:space="preserve"> précédents</w:t>
      </w:r>
      <w:r>
        <w:rPr>
          <w:rFonts w:eastAsia="Times New Roman"/>
          <w:color w:val="000000"/>
        </w:rPr>
        <w:t xml:space="preserve"> et le guide de la MAIA Occitanie  </w:t>
      </w:r>
    </w:p>
    <w:p w:rsidR="008816B2" w:rsidRDefault="008816B2" w:rsidP="008816B2">
      <w:pPr>
        <w:pStyle w:val="Paragraphedeliste"/>
        <w:numPr>
          <w:ilvl w:val="0"/>
          <w:numId w:val="8"/>
        </w:numPr>
        <w:spacing w:after="240" w:line="240" w:lineRule="auto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Point vos attentes en tant que participants à ce groupe de travail</w:t>
      </w:r>
    </w:p>
    <w:p w:rsidR="008816B2" w:rsidRDefault="008816B2" w:rsidP="008816B2">
      <w:pPr>
        <w:pStyle w:val="Paragraphedeliste"/>
        <w:numPr>
          <w:ilvl w:val="0"/>
          <w:numId w:val="8"/>
        </w:numPr>
        <w:spacing w:after="240" w:line="240" w:lineRule="auto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Définition de nos objectifs de travail au sein de ce groupe</w:t>
      </w:r>
    </w:p>
    <w:p w:rsidR="008149E9" w:rsidRDefault="008149E9" w:rsidP="007410B4">
      <w:pPr>
        <w:pStyle w:val="xmsolistparagraph"/>
        <w:spacing w:after="240"/>
        <w:ind w:left="0"/>
        <w:rPr>
          <w:b/>
          <w:color w:val="4472C4" w:themeColor="accent1"/>
          <w:sz w:val="24"/>
          <w:szCs w:val="24"/>
          <w:u w:val="single"/>
        </w:rPr>
      </w:pPr>
    </w:p>
    <w:p w:rsidR="00F4360B" w:rsidRDefault="00F4360B" w:rsidP="007410B4">
      <w:pPr>
        <w:pStyle w:val="xmsolistparagraph"/>
        <w:spacing w:after="240"/>
        <w:ind w:left="0"/>
        <w:rPr>
          <w:b/>
          <w:color w:val="4472C4" w:themeColor="accent1"/>
          <w:sz w:val="24"/>
          <w:szCs w:val="24"/>
          <w:u w:val="single"/>
        </w:rPr>
      </w:pPr>
      <w:bookmarkStart w:id="0" w:name="_GoBack"/>
      <w:bookmarkEnd w:id="0"/>
    </w:p>
    <w:p w:rsidR="00D03901" w:rsidRPr="008149E9" w:rsidRDefault="00D03901" w:rsidP="008149E9">
      <w:pPr>
        <w:pStyle w:val="xmsolistparagraph"/>
        <w:spacing w:after="240"/>
        <w:ind w:left="0"/>
        <w:rPr>
          <w:rFonts w:eastAsia="Times New Roman"/>
        </w:rPr>
      </w:pPr>
      <w:r w:rsidRPr="007410B4">
        <w:rPr>
          <w:b/>
          <w:color w:val="4472C4" w:themeColor="accent1"/>
          <w:sz w:val="24"/>
          <w:szCs w:val="24"/>
          <w:u w:val="single"/>
        </w:rPr>
        <w:lastRenderedPageBreak/>
        <w:t>Travaux précédents :</w:t>
      </w:r>
    </w:p>
    <w:p w:rsidR="00D03901" w:rsidRDefault="008149E9" w:rsidP="008149E9">
      <w:pPr>
        <w:spacing w:line="276" w:lineRule="auto"/>
        <w:jc w:val="both"/>
      </w:pPr>
      <w:r>
        <w:t xml:space="preserve">Nous avons deux </w:t>
      </w:r>
      <w:r w:rsidR="00D03901">
        <w:t xml:space="preserve">outils comme base de travail pour </w:t>
      </w:r>
      <w:r>
        <w:t>répondre aux questions pratiques de l’accompagnement à domicile</w:t>
      </w:r>
      <w:r w:rsidR="00D03901">
        <w:t xml:space="preserve"> : </w:t>
      </w:r>
    </w:p>
    <w:p w:rsidR="008149E9" w:rsidRDefault="00D03901" w:rsidP="008149E9">
      <w:pPr>
        <w:pStyle w:val="Paragraphedeliste"/>
        <w:numPr>
          <w:ilvl w:val="0"/>
          <w:numId w:val="2"/>
        </w:numPr>
        <w:spacing w:line="240" w:lineRule="auto"/>
        <w:jc w:val="both"/>
      </w:pPr>
      <w:r w:rsidRPr="00933687">
        <w:rPr>
          <w:b/>
        </w:rPr>
        <w:t>Guide juridique de la MAIA Occitanie</w:t>
      </w:r>
      <w:r w:rsidR="008149E9">
        <w:t xml:space="preserve"> : </w:t>
      </w:r>
      <w:hyperlink r:id="rId6" w:tgtFrame="_blank" w:history="1">
        <w:r w:rsidR="00933687">
          <w:rPr>
            <w:rStyle w:val="Lienhypertexte"/>
            <w:rFonts w:eastAsia="Times New Roman"/>
          </w:rPr>
          <w:t>https://www.personnes-agees-occitanie.fr/guide-juridique</w:t>
        </w:r>
      </w:hyperlink>
    </w:p>
    <w:p w:rsidR="00D03901" w:rsidRDefault="00B45AD4" w:rsidP="008149E9">
      <w:pPr>
        <w:pStyle w:val="Paragraphedeliste"/>
        <w:numPr>
          <w:ilvl w:val="0"/>
          <w:numId w:val="2"/>
        </w:numPr>
        <w:spacing w:line="240" w:lineRule="auto"/>
        <w:jc w:val="both"/>
      </w:pPr>
      <w:r w:rsidRPr="00933687">
        <w:rPr>
          <w:b/>
        </w:rPr>
        <w:t>« </w:t>
      </w:r>
      <w:r w:rsidR="00D03901" w:rsidRPr="00933687">
        <w:rPr>
          <w:b/>
        </w:rPr>
        <w:t xml:space="preserve">Guide </w:t>
      </w:r>
      <w:r w:rsidRPr="00933687">
        <w:rPr>
          <w:b/>
        </w:rPr>
        <w:t xml:space="preserve">juridique de l’échange et </w:t>
      </w:r>
      <w:r w:rsidR="00D03901" w:rsidRPr="00933687">
        <w:rPr>
          <w:b/>
        </w:rPr>
        <w:t>du partage d’information</w:t>
      </w:r>
      <w:r w:rsidRPr="00933687">
        <w:rPr>
          <w:b/>
        </w:rPr>
        <w:t>s : travailler en équipe de soins » de la MAIA Seine-Saint-Denis</w:t>
      </w:r>
      <w:r w:rsidR="008149E9" w:rsidRPr="00933687">
        <w:rPr>
          <w:b/>
        </w:rPr>
        <w:t xml:space="preserve"> et du Service Social Départemental de Seine-Saint-Denis</w:t>
      </w:r>
      <w:r w:rsidR="008149E9">
        <w:t xml:space="preserve">, de juin 2017 : </w:t>
      </w:r>
      <w:hyperlink r:id="rId7" w:history="1">
        <w:r w:rsidR="00933687" w:rsidRPr="00C93339">
          <w:rPr>
            <w:rStyle w:val="Lienhypertexte"/>
          </w:rPr>
          <w:t>https://maillage93.sante-idf.fr/accueil/outils-du-guichet-integre/corps-principal/le-guide-juridique-de-lechange-e.html</w:t>
        </w:r>
      </w:hyperlink>
      <w:r w:rsidR="00933687">
        <w:t xml:space="preserve"> </w:t>
      </w:r>
    </w:p>
    <w:p w:rsidR="00D03901" w:rsidRDefault="00D03901" w:rsidP="00D03901"/>
    <w:p w:rsidR="00BF3047" w:rsidRPr="00D03901" w:rsidRDefault="00D03901" w:rsidP="00BF3047">
      <w:pPr>
        <w:spacing w:line="276" w:lineRule="auto"/>
        <w:rPr>
          <w:b/>
          <w:color w:val="4472C4" w:themeColor="accent1"/>
          <w:sz w:val="24"/>
          <w:szCs w:val="24"/>
          <w:u w:val="single"/>
        </w:rPr>
      </w:pPr>
      <w:r w:rsidRPr="00D03901">
        <w:rPr>
          <w:b/>
          <w:color w:val="4472C4" w:themeColor="accent1"/>
          <w:sz w:val="24"/>
          <w:szCs w:val="24"/>
          <w:u w:val="single"/>
        </w:rPr>
        <w:t>Attentes du groupe :</w:t>
      </w:r>
    </w:p>
    <w:p w:rsidR="00FC58AB" w:rsidRPr="00444879" w:rsidRDefault="006349F1" w:rsidP="00225872">
      <w:pPr>
        <w:pStyle w:val="Paragraphedeliste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 w:rsidRPr="00444879">
        <w:rPr>
          <w:b/>
          <w:sz w:val="24"/>
          <w:szCs w:val="24"/>
        </w:rPr>
        <w:t xml:space="preserve">Réflexion autour du partage </w:t>
      </w:r>
      <w:r w:rsidR="00FC58AB" w:rsidRPr="00444879">
        <w:rPr>
          <w:b/>
          <w:sz w:val="24"/>
          <w:szCs w:val="24"/>
        </w:rPr>
        <w:t xml:space="preserve">et de la communication </w:t>
      </w:r>
      <w:r w:rsidRPr="00444879">
        <w:rPr>
          <w:b/>
          <w:sz w:val="24"/>
          <w:szCs w:val="24"/>
        </w:rPr>
        <w:t xml:space="preserve">d’information </w:t>
      </w:r>
    </w:p>
    <w:p w:rsidR="00DD6767" w:rsidRDefault="00DD6767" w:rsidP="00225872">
      <w:pPr>
        <w:spacing w:line="276" w:lineRule="auto"/>
        <w:jc w:val="both"/>
      </w:pPr>
      <w:r w:rsidRPr="00DD6767">
        <w:t xml:space="preserve">Sur ce </w:t>
      </w:r>
      <w:r>
        <w:t>point, l’enjeu est de savoir :</w:t>
      </w:r>
    </w:p>
    <w:p w:rsidR="00DD6767" w:rsidRPr="00BD6DEF" w:rsidRDefault="00DD6767" w:rsidP="00225872">
      <w:pPr>
        <w:pStyle w:val="Paragraphedeliste"/>
        <w:numPr>
          <w:ilvl w:val="0"/>
          <w:numId w:val="2"/>
        </w:numPr>
        <w:spacing w:line="276" w:lineRule="auto"/>
        <w:jc w:val="both"/>
        <w:rPr>
          <w:i/>
          <w:u w:val="single"/>
        </w:rPr>
      </w:pPr>
      <w:r w:rsidRPr="00BD6DEF">
        <w:rPr>
          <w:i/>
          <w:u w:val="single"/>
        </w:rPr>
        <w:t>Comment communiquer et échanger des informations en santé ?</w:t>
      </w:r>
    </w:p>
    <w:p w:rsidR="00DD6767" w:rsidRDefault="00DD6767" w:rsidP="00225872">
      <w:pPr>
        <w:spacing w:line="276" w:lineRule="auto"/>
        <w:jc w:val="both"/>
      </w:pPr>
      <w:r>
        <w:t xml:space="preserve">Pour répondre à cette question il est nécessaire de préciser la </w:t>
      </w:r>
      <w:r w:rsidRPr="00DD6767">
        <w:rPr>
          <w:b/>
        </w:rPr>
        <w:t>notion « d’équipe de soins »</w:t>
      </w:r>
      <w:r>
        <w:t xml:space="preserve"> au sens de la loi de modernisation du système de santé de 2016</w:t>
      </w:r>
      <w:r w:rsidR="00F4360B">
        <w:t xml:space="preserve"> et que faire lorsque que </w:t>
      </w:r>
      <w:proofErr w:type="gramStart"/>
      <w:r w:rsidR="00F4360B">
        <w:t>l’on est pas</w:t>
      </w:r>
      <w:proofErr w:type="gramEnd"/>
      <w:r w:rsidR="00F4360B">
        <w:t xml:space="preserve"> une équipe de soins ? </w:t>
      </w:r>
    </w:p>
    <w:p w:rsidR="00DA5C7B" w:rsidRDefault="00DA5C7B" w:rsidP="00225872">
      <w:pPr>
        <w:spacing w:line="276" w:lineRule="auto"/>
        <w:jc w:val="both"/>
      </w:pPr>
      <w:r>
        <w:t>La notion d’</w:t>
      </w:r>
      <w:r w:rsidRPr="00BD6DEF">
        <w:rPr>
          <w:b/>
        </w:rPr>
        <w:t xml:space="preserve">anonymisation des données </w:t>
      </w:r>
      <w:r>
        <w:t xml:space="preserve">(identité, pathologie, ressources…) doit aussi être évoqué pour discuter des situations de patient au sein de « l’équipe de soins ». </w:t>
      </w:r>
    </w:p>
    <w:p w:rsidR="00DD6767" w:rsidRPr="00BD6DEF" w:rsidRDefault="00DD6767" w:rsidP="00225872">
      <w:pPr>
        <w:pStyle w:val="Paragraphedeliste"/>
        <w:numPr>
          <w:ilvl w:val="0"/>
          <w:numId w:val="2"/>
        </w:numPr>
        <w:spacing w:line="276" w:lineRule="auto"/>
        <w:jc w:val="both"/>
        <w:rPr>
          <w:i/>
          <w:u w:val="single"/>
        </w:rPr>
      </w:pPr>
      <w:r w:rsidRPr="00BD6DEF">
        <w:rPr>
          <w:i/>
          <w:u w:val="single"/>
        </w:rPr>
        <w:t xml:space="preserve">Avec qui est-il possible de partager et d’échanger ces informations ? </w:t>
      </w:r>
    </w:p>
    <w:p w:rsidR="00002C80" w:rsidRDefault="00B563FA" w:rsidP="00225872">
      <w:pPr>
        <w:spacing w:line="276" w:lineRule="auto"/>
        <w:jc w:val="both"/>
      </w:pPr>
      <w:r>
        <w:t xml:space="preserve">Pour répondre à cette interrogation, il convient de définir </w:t>
      </w:r>
      <w:r w:rsidR="00801E5C">
        <w:t xml:space="preserve">ce </w:t>
      </w:r>
      <w:r>
        <w:t>qu’</w:t>
      </w:r>
      <w:r w:rsidR="00002C80">
        <w:t>est</w:t>
      </w:r>
      <w:r>
        <w:t xml:space="preserve"> le </w:t>
      </w:r>
      <w:r w:rsidRPr="005B2972">
        <w:rPr>
          <w:b/>
        </w:rPr>
        <w:t>« secret professionnel »</w:t>
      </w:r>
      <w:r>
        <w:t xml:space="preserve"> qui sont liés à la communication et à l’échange d’information. </w:t>
      </w:r>
    </w:p>
    <w:p w:rsidR="00D07661" w:rsidRDefault="00002C80" w:rsidP="00D07661">
      <w:pPr>
        <w:jc w:val="both"/>
      </w:pPr>
      <w:r>
        <w:t>Par exemple, le groupe de travail s’est demand</w:t>
      </w:r>
      <w:r w:rsidR="00FF737A">
        <w:t>é</w:t>
      </w:r>
      <w:r>
        <w:t xml:space="preserve"> </w:t>
      </w:r>
      <w:r w:rsidR="00AE6905">
        <w:t>si ces informations</w:t>
      </w:r>
      <w:r>
        <w:t xml:space="preserve"> pouvaient être partagé au cours d’une RESAD</w:t>
      </w:r>
      <w:r w:rsidR="00A55FF6">
        <w:t>,</w:t>
      </w:r>
      <w:r>
        <w:t xml:space="preserve"> </w:t>
      </w:r>
      <w:r w:rsidRPr="00AE6905">
        <w:t>avec des bénévoles</w:t>
      </w:r>
      <w:r w:rsidR="00A55FF6">
        <w:t>, ou avec des personnes qui ne sont pas soumises au secret professionnel</w:t>
      </w:r>
      <w:r w:rsidRPr="00AE6905">
        <w:t xml:space="preserve"> ? </w:t>
      </w:r>
      <w:r w:rsidR="00D07661" w:rsidRPr="00AE6905">
        <w:t xml:space="preserve"> </w:t>
      </w:r>
    </w:p>
    <w:p w:rsidR="00002C80" w:rsidRPr="00D07661" w:rsidRDefault="00D07661" w:rsidP="00D07661">
      <w:pPr>
        <w:jc w:val="both"/>
      </w:pPr>
      <w:r>
        <w:t>Q</w:t>
      </w:r>
      <w:r w:rsidR="00FF737A">
        <w:t>u’en</w:t>
      </w:r>
      <w:r>
        <w:t xml:space="preserve"> est-il de la communication d’information auprès de l’entourage de la personne ? A quelles informations ont-ils accès ? </w:t>
      </w:r>
      <w:r w:rsidR="00F4360B">
        <w:t xml:space="preserve">Dans quelle mesure le professionnel doit prendre en compte l’avis de l’entourage ? </w:t>
      </w:r>
      <w:r w:rsidR="00EC180E">
        <w:t xml:space="preserve">Par exemple, pour les EMS APA face à des personnes âgées dépendantes et à leurs entourages qui donnent leurs avis. </w:t>
      </w:r>
    </w:p>
    <w:p w:rsidR="00B563FA" w:rsidRPr="00BD6DEF" w:rsidRDefault="00926AE7" w:rsidP="00926AE7">
      <w:pPr>
        <w:pStyle w:val="Paragraphedeliste"/>
        <w:numPr>
          <w:ilvl w:val="0"/>
          <w:numId w:val="2"/>
        </w:numPr>
        <w:spacing w:line="276" w:lineRule="auto"/>
        <w:jc w:val="both"/>
        <w:rPr>
          <w:i/>
          <w:u w:val="single"/>
        </w:rPr>
      </w:pPr>
      <w:r w:rsidRPr="00BD6DEF">
        <w:rPr>
          <w:i/>
          <w:u w:val="single"/>
        </w:rPr>
        <w:t xml:space="preserve">Quel mode de communication </w:t>
      </w:r>
      <w:r w:rsidR="00DA5C7B" w:rsidRPr="00BD6DEF">
        <w:rPr>
          <w:i/>
          <w:u w:val="single"/>
        </w:rPr>
        <w:t>privilégi</w:t>
      </w:r>
      <w:r w:rsidR="00F76872" w:rsidRPr="00BD6DEF">
        <w:rPr>
          <w:i/>
          <w:u w:val="single"/>
        </w:rPr>
        <w:t>er</w:t>
      </w:r>
      <w:r w:rsidR="00DA5C7B" w:rsidRPr="00BD6DEF">
        <w:rPr>
          <w:i/>
          <w:u w:val="single"/>
        </w:rPr>
        <w:t xml:space="preserve"> pour le partage et la communication d’information ?</w:t>
      </w:r>
    </w:p>
    <w:p w:rsidR="00DA5C7B" w:rsidRDefault="00DA5C7B" w:rsidP="00DA5C7B">
      <w:pPr>
        <w:spacing w:line="276" w:lineRule="auto"/>
        <w:jc w:val="both"/>
      </w:pPr>
      <w:r>
        <w:t xml:space="preserve">Le </w:t>
      </w:r>
      <w:r w:rsidRPr="005B2972">
        <w:rPr>
          <w:b/>
        </w:rPr>
        <w:t xml:space="preserve">mode de communication </w:t>
      </w:r>
      <w:r w:rsidR="00FC58AB">
        <w:t>est un élément important à prendre en compte</w:t>
      </w:r>
      <w:r>
        <w:t>. Il existe divers moyens de communication tel que : les</w:t>
      </w:r>
      <w:r w:rsidR="008B18DD">
        <w:t xml:space="preserve"> mail</w:t>
      </w:r>
      <w:r>
        <w:t>s</w:t>
      </w:r>
      <w:r w:rsidR="008B18DD">
        <w:t>, téléphone</w:t>
      </w:r>
      <w:r>
        <w:t>, fax …</w:t>
      </w:r>
    </w:p>
    <w:p w:rsidR="00DA5C7B" w:rsidRDefault="00DA5C7B" w:rsidP="00DA5C7B">
      <w:pPr>
        <w:spacing w:line="276" w:lineRule="auto"/>
        <w:jc w:val="both"/>
      </w:pPr>
      <w:r>
        <w:t xml:space="preserve">Se pose également la question des </w:t>
      </w:r>
      <w:r w:rsidR="008B18DD">
        <w:t>écrits</w:t>
      </w:r>
      <w:r>
        <w:t xml:space="preserve"> qui sont transmis entre les différents professionnels sur une situation : faut-il</w:t>
      </w:r>
      <w:r w:rsidR="008B18DD">
        <w:t xml:space="preserve"> rester factuel ou non, noter ses impressio</w:t>
      </w:r>
      <w:r>
        <w:t>ns ?</w:t>
      </w:r>
      <w:r w:rsidR="008B18DD">
        <w:t> </w:t>
      </w:r>
    </w:p>
    <w:p w:rsidR="00F4360B" w:rsidRDefault="00F4360B" w:rsidP="00DA5C7B">
      <w:pPr>
        <w:spacing w:line="276" w:lineRule="auto"/>
        <w:jc w:val="both"/>
      </w:pPr>
      <w:r>
        <w:t xml:space="preserve">Qu’en est-il des notes rédiger par les professionnels dans le cadre de leur exercice, à qui appartiennent-elles ? </w:t>
      </w:r>
    </w:p>
    <w:p w:rsidR="0081178D" w:rsidRDefault="0081178D" w:rsidP="00DA5C7B">
      <w:pPr>
        <w:spacing w:line="276" w:lineRule="auto"/>
        <w:jc w:val="both"/>
      </w:pPr>
    </w:p>
    <w:p w:rsidR="00F4360B" w:rsidRDefault="00F4360B" w:rsidP="00DA5C7B">
      <w:pPr>
        <w:spacing w:line="276" w:lineRule="auto"/>
        <w:jc w:val="both"/>
      </w:pPr>
    </w:p>
    <w:p w:rsidR="00D37055" w:rsidRPr="00444879" w:rsidRDefault="00206802" w:rsidP="00942AD1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Réflexion autour</w:t>
      </w:r>
      <w:r w:rsidR="000366E2" w:rsidRPr="00444879">
        <w:rPr>
          <w:b/>
          <w:sz w:val="24"/>
          <w:szCs w:val="24"/>
        </w:rPr>
        <w:t xml:space="preserve"> du maintien à domicile </w:t>
      </w:r>
    </w:p>
    <w:p w:rsidR="00D37055" w:rsidRDefault="00D37055" w:rsidP="00D37055">
      <w:r w:rsidRPr="00110AE4">
        <w:t xml:space="preserve">Divers cas de figures et </w:t>
      </w:r>
      <w:r w:rsidR="00720F23">
        <w:t>interrogations</w:t>
      </w:r>
      <w:r w:rsidRPr="00110AE4">
        <w:t xml:space="preserve"> se sont posés</w:t>
      </w:r>
      <w:r w:rsidR="00720F23">
        <w:t> :</w:t>
      </w:r>
    </w:p>
    <w:p w:rsidR="00720F23" w:rsidRDefault="00720F23" w:rsidP="00720F23">
      <w:pPr>
        <w:pStyle w:val="Paragraphedeliste"/>
        <w:numPr>
          <w:ilvl w:val="0"/>
          <w:numId w:val="2"/>
        </w:numPr>
      </w:pPr>
      <w:r>
        <w:t xml:space="preserve">Cas de la personne enfermée à son domicile : que faire ? </w:t>
      </w:r>
    </w:p>
    <w:p w:rsidR="00720F23" w:rsidRDefault="00720F23" w:rsidP="00720F23">
      <w:pPr>
        <w:pStyle w:val="Paragraphedeliste"/>
        <w:numPr>
          <w:ilvl w:val="0"/>
          <w:numId w:val="2"/>
        </w:numPr>
      </w:pPr>
      <w:r>
        <w:t>Intervenants à domicile et vidéosurveillance</w:t>
      </w:r>
    </w:p>
    <w:p w:rsidR="00720F23" w:rsidRDefault="00EA1E4C" w:rsidP="00EA1E4C">
      <w:pPr>
        <w:pStyle w:val="Paragraphedeliste"/>
        <w:numPr>
          <w:ilvl w:val="0"/>
          <w:numId w:val="2"/>
        </w:numPr>
      </w:pPr>
      <w:r>
        <w:t>Mise</w:t>
      </w:r>
      <w:r w:rsidR="00720F23">
        <w:t xml:space="preserve"> en danger</w:t>
      </w:r>
      <w:r>
        <w:t xml:space="preserve"> ou non-assistance à personne en danger</w:t>
      </w:r>
      <w:r w:rsidR="00720F23">
        <w:t xml:space="preserve"> : </w:t>
      </w:r>
      <w:r>
        <w:t>q</w:t>
      </w:r>
      <w:r w:rsidR="00720F23">
        <w:t>uelle réaction de la part du professionnel témoin ?</w:t>
      </w:r>
      <w:r>
        <w:t xml:space="preserve"> Par exemple, face à des faits de violences conjugales, une personne qui possède des bonbonnes de gaz à son domicile ou encore le fait de découvrir une arme au domicile du patient</w:t>
      </w:r>
      <w:r w:rsidR="00F4360B">
        <w:t xml:space="preserve"> ou de savoir que ce dernier en détient une…</w:t>
      </w:r>
    </w:p>
    <w:p w:rsidR="00720F23" w:rsidRDefault="00720F23" w:rsidP="00720F23">
      <w:pPr>
        <w:pStyle w:val="Paragraphedeliste"/>
        <w:numPr>
          <w:ilvl w:val="0"/>
          <w:numId w:val="2"/>
        </w:numPr>
      </w:pPr>
      <w:r>
        <w:t xml:space="preserve">Le domicile est un lieu de trafic : comment procéder ? </w:t>
      </w:r>
    </w:p>
    <w:p w:rsidR="00720F23" w:rsidRPr="00110AE4" w:rsidRDefault="00720F23" w:rsidP="00720F23">
      <w:pPr>
        <w:pStyle w:val="Paragraphedeliste"/>
        <w:numPr>
          <w:ilvl w:val="0"/>
          <w:numId w:val="2"/>
        </w:numPr>
      </w:pPr>
      <w:r>
        <w:t>Récupérer des affaires appartenant au patient à son domicile sans sa présence</w:t>
      </w:r>
    </w:p>
    <w:p w:rsidR="00165FC0" w:rsidRDefault="00165FC0" w:rsidP="00720F23">
      <w:pPr>
        <w:pStyle w:val="Paragraphedeliste"/>
        <w:numPr>
          <w:ilvl w:val="0"/>
          <w:numId w:val="2"/>
        </w:numPr>
      </w:pPr>
      <w:r>
        <w:t>Entrée au domicile du patient sans son consentement, comment faire ? (</w:t>
      </w:r>
      <w:r w:rsidR="006D7F18">
        <w:t>J. GOULEY</w:t>
      </w:r>
      <w:r>
        <w:t>, sur décision du maire)</w:t>
      </w:r>
    </w:p>
    <w:p w:rsidR="0081178D" w:rsidRDefault="0081178D" w:rsidP="00720F23">
      <w:pPr>
        <w:pStyle w:val="Paragraphedeliste"/>
        <w:numPr>
          <w:ilvl w:val="0"/>
          <w:numId w:val="2"/>
        </w:numPr>
      </w:pPr>
      <w:r>
        <w:t>Possession d’affaires personnelles du patient par un professionnel (papier identité, clés …) : que faire ?</w:t>
      </w:r>
    </w:p>
    <w:p w:rsidR="00ED4767" w:rsidRDefault="00ED4767" w:rsidP="00720F23">
      <w:pPr>
        <w:pStyle w:val="Paragraphedeliste"/>
        <w:numPr>
          <w:ilvl w:val="0"/>
          <w:numId w:val="2"/>
        </w:numPr>
      </w:pPr>
      <w:r>
        <w:t xml:space="preserve"> Conduite</w:t>
      </w:r>
      <w:r w:rsidR="00720F23">
        <w:t xml:space="preserve"> d’un véhicule </w:t>
      </w:r>
      <w:r w:rsidR="003E5A65">
        <w:t xml:space="preserve">par </w:t>
      </w:r>
      <w:r>
        <w:t>des personnes âgées</w:t>
      </w:r>
    </w:p>
    <w:p w:rsidR="00444879" w:rsidRDefault="00444879" w:rsidP="0081178D"/>
    <w:p w:rsidR="00F90806" w:rsidRPr="0081178D" w:rsidRDefault="00080AEA" w:rsidP="0081178D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444879">
        <w:rPr>
          <w:b/>
          <w:sz w:val="24"/>
          <w:szCs w:val="24"/>
        </w:rPr>
        <w:t>Réflexion autour des s</w:t>
      </w:r>
      <w:r w:rsidR="00ED4767" w:rsidRPr="00444879">
        <w:rPr>
          <w:b/>
          <w:sz w:val="24"/>
          <w:szCs w:val="24"/>
        </w:rPr>
        <w:t>oins sans consentement</w:t>
      </w:r>
    </w:p>
    <w:p w:rsidR="0081178D" w:rsidRDefault="0081178D" w:rsidP="0081178D">
      <w:r w:rsidRPr="0081178D">
        <w:t xml:space="preserve">Rappel de notion comme : </w:t>
      </w:r>
    </w:p>
    <w:p w:rsidR="0081178D" w:rsidRDefault="0081178D" w:rsidP="0081178D">
      <w:pPr>
        <w:pStyle w:val="Paragraphedeliste"/>
        <w:numPr>
          <w:ilvl w:val="0"/>
          <w:numId w:val="2"/>
        </w:numPr>
      </w:pPr>
      <w:r w:rsidRPr="0081178D">
        <w:t xml:space="preserve">Le consentement, </w:t>
      </w:r>
    </w:p>
    <w:p w:rsidR="0081178D" w:rsidRDefault="0081178D" w:rsidP="0081178D">
      <w:pPr>
        <w:pStyle w:val="Paragraphedeliste"/>
        <w:numPr>
          <w:ilvl w:val="0"/>
          <w:numId w:val="2"/>
        </w:numPr>
      </w:pPr>
      <w:r w:rsidRPr="0081178D">
        <w:t>Le discernement</w:t>
      </w:r>
      <w:r>
        <w:t>,</w:t>
      </w:r>
    </w:p>
    <w:p w:rsidR="0081178D" w:rsidRPr="0081178D" w:rsidRDefault="0081178D" w:rsidP="0081178D">
      <w:pPr>
        <w:pStyle w:val="Paragraphedeliste"/>
        <w:numPr>
          <w:ilvl w:val="0"/>
          <w:numId w:val="2"/>
        </w:numPr>
      </w:pPr>
      <w:r>
        <w:t>L’hospitalisation sur demande d’un tiers</w:t>
      </w:r>
    </w:p>
    <w:p w:rsidR="0081178D" w:rsidRDefault="0081178D" w:rsidP="007A0F51">
      <w:pPr>
        <w:rPr>
          <w:b/>
          <w:color w:val="4472C4" w:themeColor="accent1"/>
          <w:sz w:val="24"/>
          <w:szCs w:val="24"/>
          <w:u w:val="single"/>
        </w:rPr>
      </w:pPr>
    </w:p>
    <w:p w:rsidR="00ED4767" w:rsidRPr="007A0F51" w:rsidRDefault="00ED4767" w:rsidP="007A0F51">
      <w:pPr>
        <w:rPr>
          <w:b/>
        </w:rPr>
      </w:pPr>
      <w:r w:rsidRPr="007A0F51">
        <w:rPr>
          <w:b/>
          <w:color w:val="4472C4" w:themeColor="accent1"/>
          <w:sz w:val="24"/>
          <w:szCs w:val="24"/>
          <w:u w:val="single"/>
        </w:rPr>
        <w:t>Comment répondre à ces questions ?</w:t>
      </w:r>
    </w:p>
    <w:p w:rsidR="003D4C38" w:rsidRDefault="003D4C38" w:rsidP="003D4C38">
      <w:pPr>
        <w:pStyle w:val="Paragraphedeliste"/>
        <w:numPr>
          <w:ilvl w:val="0"/>
          <w:numId w:val="2"/>
        </w:numPr>
      </w:pPr>
      <w:r>
        <w:t xml:space="preserve">Possibilité de partir de cas pratiques illustrant les différentes situations </w:t>
      </w:r>
      <w:r w:rsidR="003768CE">
        <w:t>envisageables</w:t>
      </w:r>
    </w:p>
    <w:p w:rsidR="003D4C38" w:rsidRDefault="003D4C38" w:rsidP="003D4C38">
      <w:pPr>
        <w:pStyle w:val="Paragraphedeliste"/>
        <w:numPr>
          <w:ilvl w:val="0"/>
          <w:numId w:val="2"/>
        </w:numPr>
      </w:pPr>
      <w:r>
        <w:t xml:space="preserve">Introduire une dimension éthique au sein de l’outil, mais </w:t>
      </w:r>
      <w:r w:rsidR="004362FA">
        <w:t xml:space="preserve">point de vigilance : </w:t>
      </w:r>
      <w:r>
        <w:t>ne pas créer une manière type de penser pour les professionnels</w:t>
      </w:r>
    </w:p>
    <w:p w:rsidR="003C0A60" w:rsidRDefault="003D4C38" w:rsidP="00B96710">
      <w:pPr>
        <w:pStyle w:val="Paragraphedeliste"/>
        <w:numPr>
          <w:ilvl w:val="0"/>
          <w:numId w:val="2"/>
        </w:numPr>
      </w:pPr>
      <w:r>
        <w:t xml:space="preserve">Avoir des repères juridiques forts </w:t>
      </w:r>
      <w:r>
        <w:sym w:font="Wingdings" w:char="F0E0"/>
      </w:r>
      <w:r>
        <w:t xml:space="preserve"> rendre la loi </w:t>
      </w:r>
      <w:r w:rsidR="0018504E">
        <w:t>accessible et simplifiée</w:t>
      </w:r>
      <w:r>
        <w:t xml:space="preserve"> </w:t>
      </w:r>
    </w:p>
    <w:p w:rsidR="008149E9" w:rsidRDefault="008149E9" w:rsidP="008149E9">
      <w:r>
        <w:t xml:space="preserve">Sur la </w:t>
      </w:r>
      <w:r w:rsidRPr="008149E9">
        <w:rPr>
          <w:b/>
        </w:rPr>
        <w:t>forme de l’outil</w:t>
      </w:r>
      <w:r w:rsidRPr="00132700">
        <w:t xml:space="preserve"> : </w:t>
      </w:r>
      <w:r>
        <w:t>il pourrait prendre la forme de questions/réponses, dans un format pratique et accessible, ou par un système de catégories.</w:t>
      </w:r>
    </w:p>
    <w:p w:rsidR="003D4C38" w:rsidRDefault="003D4C38" w:rsidP="003C0A60">
      <w:r>
        <w:t>Réflexion sur la création d’un groupe pour répondre à des questions précises : « RESAD juridique »</w:t>
      </w:r>
      <w:r w:rsidR="00883D2A">
        <w:t> ?</w:t>
      </w:r>
    </w:p>
    <w:p w:rsidR="003D4C38" w:rsidRPr="003D4C38" w:rsidRDefault="003D4C38" w:rsidP="003D4C38">
      <w:pPr>
        <w:rPr>
          <w:b/>
          <w:color w:val="4472C4" w:themeColor="accent1"/>
          <w:sz w:val="24"/>
          <w:szCs w:val="24"/>
          <w:u w:val="single"/>
        </w:rPr>
      </w:pPr>
    </w:p>
    <w:p w:rsidR="003D4C38" w:rsidRPr="003D4C38" w:rsidRDefault="003D4C38" w:rsidP="003D4C38">
      <w:pPr>
        <w:rPr>
          <w:b/>
          <w:color w:val="4472C4" w:themeColor="accent1"/>
          <w:sz w:val="24"/>
          <w:szCs w:val="24"/>
          <w:u w:val="single"/>
        </w:rPr>
      </w:pPr>
      <w:r w:rsidRPr="003D4C38">
        <w:rPr>
          <w:b/>
          <w:color w:val="4472C4" w:themeColor="accent1"/>
          <w:sz w:val="24"/>
          <w:szCs w:val="24"/>
          <w:u w:val="single"/>
        </w:rPr>
        <w:t>Actions à venir :</w:t>
      </w:r>
    </w:p>
    <w:p w:rsidR="003D4C38" w:rsidRDefault="00230D12" w:rsidP="003D4C38">
      <w:pPr>
        <w:pStyle w:val="Paragraphedeliste"/>
        <w:numPr>
          <w:ilvl w:val="0"/>
          <w:numId w:val="2"/>
        </w:numPr>
      </w:pPr>
      <w:r>
        <w:t xml:space="preserve">Lire le guide juridique réalisé par le MAIA Occitanie pour identifier </w:t>
      </w:r>
      <w:r w:rsidR="00572D55">
        <w:t xml:space="preserve">des axes de travail à venir </w:t>
      </w:r>
    </w:p>
    <w:p w:rsidR="003D4C38" w:rsidRDefault="003D4C38" w:rsidP="003D4C38">
      <w:pPr>
        <w:pStyle w:val="Paragraphedeliste"/>
        <w:numPr>
          <w:ilvl w:val="0"/>
          <w:numId w:val="2"/>
        </w:numPr>
      </w:pPr>
      <w:r>
        <w:t xml:space="preserve">Rédiger 3 lignes de cas pratiques </w:t>
      </w:r>
      <w:r w:rsidR="00572D55">
        <w:t>sur des situations afin de servir d’illustration</w:t>
      </w:r>
    </w:p>
    <w:p w:rsidR="003D4C38" w:rsidRDefault="00572D55" w:rsidP="003D4C38">
      <w:pPr>
        <w:pStyle w:val="Paragraphedeliste"/>
        <w:numPr>
          <w:ilvl w:val="0"/>
          <w:numId w:val="2"/>
        </w:numPr>
      </w:pPr>
      <w:r>
        <w:t xml:space="preserve">Pour le </w:t>
      </w:r>
      <w:r w:rsidR="003D4C38">
        <w:t>DAC : trouver les grands thèmes importants à avoir (+ juridique)</w:t>
      </w:r>
    </w:p>
    <w:p w:rsidR="003D4C38" w:rsidRDefault="003D4C38" w:rsidP="003D4C38"/>
    <w:p w:rsidR="003D4C38" w:rsidRDefault="00033290" w:rsidP="003D4C38">
      <w:r>
        <w:lastRenderedPageBreak/>
        <w:t xml:space="preserve">+ </w:t>
      </w:r>
      <w:r w:rsidR="008B2872">
        <w:t>Une nouvelle</w:t>
      </w:r>
      <w:r>
        <w:t xml:space="preserve"> base de travail</w:t>
      </w:r>
      <w:r w:rsidR="008B2872">
        <w:t xml:space="preserve"> transmise par </w:t>
      </w:r>
      <w:proofErr w:type="gramStart"/>
      <w:r w:rsidR="008B2872">
        <w:t>J.GOULEY</w:t>
      </w:r>
      <w:proofErr w:type="gramEnd"/>
      <w:r>
        <w:t> : « Fiches juridiques : Le secret professionnel et le partage de l’information dans le domaine social et médico-social » du Conseil départemental 2021.</w:t>
      </w:r>
    </w:p>
    <w:p w:rsidR="00033290" w:rsidRDefault="00033290" w:rsidP="003D4C38"/>
    <w:p w:rsidR="003D4C38" w:rsidRPr="003D4C38" w:rsidRDefault="003D4C38" w:rsidP="00EB5F0D">
      <w:pPr>
        <w:jc w:val="center"/>
        <w:rPr>
          <w:b/>
          <w:color w:val="FF0000"/>
          <w:sz w:val="28"/>
          <w:szCs w:val="28"/>
        </w:rPr>
      </w:pPr>
      <w:r w:rsidRPr="003D4C38">
        <w:rPr>
          <w:b/>
          <w:color w:val="FF0000"/>
          <w:sz w:val="28"/>
          <w:szCs w:val="28"/>
        </w:rPr>
        <w:t>La prochaine rencontre aura lieu le 2 Juin à 14h</w:t>
      </w:r>
    </w:p>
    <w:sectPr w:rsidR="003D4C38" w:rsidRPr="003D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899"/>
    <w:multiLevelType w:val="hybridMultilevel"/>
    <w:tmpl w:val="3E6AFB10"/>
    <w:lvl w:ilvl="0" w:tplc="1866652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E7C12"/>
    <w:multiLevelType w:val="hybridMultilevel"/>
    <w:tmpl w:val="3C9A5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055F"/>
    <w:multiLevelType w:val="hybridMultilevel"/>
    <w:tmpl w:val="8834BAE2"/>
    <w:lvl w:ilvl="0" w:tplc="DF0A0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21E7"/>
    <w:multiLevelType w:val="multilevel"/>
    <w:tmpl w:val="826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2E6067"/>
    <w:multiLevelType w:val="hybridMultilevel"/>
    <w:tmpl w:val="7914762C"/>
    <w:lvl w:ilvl="0" w:tplc="2EA012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4DAD"/>
    <w:multiLevelType w:val="multilevel"/>
    <w:tmpl w:val="658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B8006D"/>
    <w:multiLevelType w:val="hybridMultilevel"/>
    <w:tmpl w:val="0F38384C"/>
    <w:lvl w:ilvl="0" w:tplc="0B78614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C811D8"/>
    <w:multiLevelType w:val="hybridMultilevel"/>
    <w:tmpl w:val="E558FF64"/>
    <w:lvl w:ilvl="0" w:tplc="DA14B7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21BC"/>
    <w:multiLevelType w:val="hybridMultilevel"/>
    <w:tmpl w:val="A58C5E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C6"/>
    <w:rsid w:val="00002C80"/>
    <w:rsid w:val="00033290"/>
    <w:rsid w:val="00033677"/>
    <w:rsid w:val="000366E2"/>
    <w:rsid w:val="00080AEA"/>
    <w:rsid w:val="000A084D"/>
    <w:rsid w:val="000B04C6"/>
    <w:rsid w:val="00101ADB"/>
    <w:rsid w:val="00110AE4"/>
    <w:rsid w:val="00132700"/>
    <w:rsid w:val="00146A23"/>
    <w:rsid w:val="00165FC0"/>
    <w:rsid w:val="0018504E"/>
    <w:rsid w:val="001A7EEF"/>
    <w:rsid w:val="001E0E24"/>
    <w:rsid w:val="00206802"/>
    <w:rsid w:val="00225872"/>
    <w:rsid w:val="00230D12"/>
    <w:rsid w:val="00265502"/>
    <w:rsid w:val="002722CA"/>
    <w:rsid w:val="00306D33"/>
    <w:rsid w:val="003768CE"/>
    <w:rsid w:val="003C0A60"/>
    <w:rsid w:val="003D4C38"/>
    <w:rsid w:val="003E5A65"/>
    <w:rsid w:val="00414A13"/>
    <w:rsid w:val="004362FA"/>
    <w:rsid w:val="00444879"/>
    <w:rsid w:val="004C13EB"/>
    <w:rsid w:val="004E487C"/>
    <w:rsid w:val="00572D55"/>
    <w:rsid w:val="005B0FEF"/>
    <w:rsid w:val="005B2972"/>
    <w:rsid w:val="005D389D"/>
    <w:rsid w:val="006240AC"/>
    <w:rsid w:val="006349F1"/>
    <w:rsid w:val="006364C1"/>
    <w:rsid w:val="00660A5F"/>
    <w:rsid w:val="00684EF6"/>
    <w:rsid w:val="00687F28"/>
    <w:rsid w:val="006A4375"/>
    <w:rsid w:val="006D7F18"/>
    <w:rsid w:val="00720F23"/>
    <w:rsid w:val="007410B4"/>
    <w:rsid w:val="007A0F51"/>
    <w:rsid w:val="007A6AFB"/>
    <w:rsid w:val="007F53EE"/>
    <w:rsid w:val="007F5BA6"/>
    <w:rsid w:val="00801447"/>
    <w:rsid w:val="00801E5C"/>
    <w:rsid w:val="0081178D"/>
    <w:rsid w:val="008149E9"/>
    <w:rsid w:val="008816B2"/>
    <w:rsid w:val="00883D2A"/>
    <w:rsid w:val="008B18DD"/>
    <w:rsid w:val="008B2872"/>
    <w:rsid w:val="00926AE7"/>
    <w:rsid w:val="00933687"/>
    <w:rsid w:val="00942AD1"/>
    <w:rsid w:val="00A0512F"/>
    <w:rsid w:val="00A2264C"/>
    <w:rsid w:val="00A55FF6"/>
    <w:rsid w:val="00AD0635"/>
    <w:rsid w:val="00AE6905"/>
    <w:rsid w:val="00B45AD4"/>
    <w:rsid w:val="00B54857"/>
    <w:rsid w:val="00B563FA"/>
    <w:rsid w:val="00B868B5"/>
    <w:rsid w:val="00B97DB6"/>
    <w:rsid w:val="00BB2449"/>
    <w:rsid w:val="00BD6DEF"/>
    <w:rsid w:val="00BF3047"/>
    <w:rsid w:val="00C916C5"/>
    <w:rsid w:val="00D03901"/>
    <w:rsid w:val="00D07661"/>
    <w:rsid w:val="00D1143F"/>
    <w:rsid w:val="00D37055"/>
    <w:rsid w:val="00D7653A"/>
    <w:rsid w:val="00DA5C7B"/>
    <w:rsid w:val="00DD6767"/>
    <w:rsid w:val="00E02504"/>
    <w:rsid w:val="00E55790"/>
    <w:rsid w:val="00E92464"/>
    <w:rsid w:val="00EA1E4C"/>
    <w:rsid w:val="00EB5F0D"/>
    <w:rsid w:val="00EC180E"/>
    <w:rsid w:val="00ED345D"/>
    <w:rsid w:val="00ED4767"/>
    <w:rsid w:val="00F265A8"/>
    <w:rsid w:val="00F32F22"/>
    <w:rsid w:val="00F4360B"/>
    <w:rsid w:val="00F650F2"/>
    <w:rsid w:val="00F76872"/>
    <w:rsid w:val="00F90806"/>
    <w:rsid w:val="00F96EE4"/>
    <w:rsid w:val="00FA1828"/>
    <w:rsid w:val="00FB3B1C"/>
    <w:rsid w:val="00FC58AB"/>
    <w:rsid w:val="00FE640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84C8"/>
  <w15:chartTrackingRefBased/>
  <w15:docId w15:val="{4549986E-AF57-4B6D-86C3-003749EB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3901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msolistparagraph">
    <w:name w:val="x_msolistparagraph"/>
    <w:basedOn w:val="Normal"/>
    <w:rsid w:val="00D03901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D039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3687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lage93.sante-idf.fr/accueil/outils-du-guichet-integre/corps-principal/le-guide-juridique-de-lechange-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iphishing.vadesecure.com/v4?f=SXFHV0doZ0hlNkF0enZmVucdO9EWa_a2lQmgp0C5rbEOeR3s5KJqW5RkyLG8ni4w&amp;i=empzeXJKYXZmc05YYWxacww79GlgYjXZQK_pwV_AaxA&amp;k=NcQA&amp;r=VmtndDVTbzdiM2ZTWE5zNMyuIdTZaAwKmJiEChlHVnokwAXKXQT8GODCPUGdGLj2PULPwGPxtN479pEjx9TLsw&amp;s=7ca03385f99ec3022ed55199ebfa197abb57cfe391023575e24bb9b1d4c9ab5d&amp;u=https%3A%2F%2Fwww.personnes-agees-occitanie.fr%2Fguide-juridiq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Emma PETIT</cp:lastModifiedBy>
  <cp:revision>59</cp:revision>
  <dcterms:created xsi:type="dcterms:W3CDTF">2022-03-23T10:53:00Z</dcterms:created>
  <dcterms:modified xsi:type="dcterms:W3CDTF">2022-05-10T12:15:00Z</dcterms:modified>
</cp:coreProperties>
</file>